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70"/>
      </w:pPr>
      <w:r>
        <w:rPr/>
        <w:t>ENDORSEMENT</w:t>
      </w:r>
    </w:p>
    <w:p>
      <w:pPr>
        <w:pStyle w:val="BodyText"/>
        <w:spacing w:before="6"/>
        <w:rPr>
          <w:b/>
          <w:sz w:val="26"/>
        </w:rPr>
      </w:pPr>
    </w:p>
    <w:p>
      <w:pPr>
        <w:spacing w:before="0"/>
        <w:ind w:left="957" w:right="978" w:firstLine="0"/>
        <w:jc w:val="center"/>
        <w:rPr>
          <w:b/>
          <w:sz w:val="20"/>
        </w:rPr>
      </w:pPr>
      <w:r>
        <w:rPr>
          <w:b/>
          <w:sz w:val="20"/>
        </w:rPr>
        <w:t>THIS ENDORSEMENT CHANGES THE POLICY. PLEASE READ IT CAREFULLY.</w:t>
      </w:r>
    </w:p>
    <w:p>
      <w:pPr>
        <w:pStyle w:val="BodyText"/>
        <w:spacing w:before="1"/>
        <w:rPr>
          <w:b/>
        </w:rPr>
      </w:pPr>
    </w:p>
    <w:p>
      <w:pPr>
        <w:pStyle w:val="BodyText"/>
        <w:ind w:left="100" w:right="6562"/>
      </w:pPr>
      <w:r>
        <w:rPr/>
        <w:t>This endorsement effective 12:01 a.m., Forms a part of Policy No.:</w:t>
      </w:r>
    </w:p>
    <w:p>
      <w:pPr>
        <w:pStyle w:val="BodyText"/>
        <w:rPr>
          <w:sz w:val="22"/>
        </w:rPr>
      </w:pPr>
    </w:p>
    <w:p>
      <w:pPr>
        <w:pStyle w:val="BodyText"/>
        <w:spacing w:before="2"/>
        <w:rPr>
          <w:sz w:val="18"/>
        </w:rPr>
      </w:pPr>
    </w:p>
    <w:p>
      <w:pPr>
        <w:spacing w:before="0"/>
        <w:ind w:left="960" w:right="978" w:firstLine="0"/>
        <w:jc w:val="center"/>
        <w:rPr>
          <w:b/>
          <w:sz w:val="24"/>
        </w:rPr>
      </w:pPr>
      <w:r>
        <w:rPr>
          <w:b/>
          <w:sz w:val="24"/>
        </w:rPr>
        <w:t>FIREARMS INSTRUCTORS PROFESSIONAL LIABILITY ENDORSEMENT</w:t>
      </w:r>
    </w:p>
    <w:p>
      <w:pPr>
        <w:pStyle w:val="BodyText"/>
        <w:rPr>
          <w:b/>
          <w:sz w:val="26"/>
        </w:rPr>
      </w:pPr>
    </w:p>
    <w:p>
      <w:pPr>
        <w:pStyle w:val="BodyText"/>
        <w:spacing w:line="518" w:lineRule="auto" w:before="207"/>
        <w:ind w:left="820" w:right="4083" w:hanging="720"/>
      </w:pPr>
      <w:r>
        <w:rPr/>
        <w:t>This endorsement modifies insurance provided under the following: COMMERCIAL GENERAL LIABILTY COVERAGE FORM</w:t>
      </w:r>
    </w:p>
    <w:p>
      <w:pPr>
        <w:pStyle w:val="ListParagraph"/>
        <w:numPr>
          <w:ilvl w:val="0"/>
          <w:numId w:val="1"/>
        </w:numPr>
        <w:tabs>
          <w:tab w:pos="821" w:val="left" w:leader="none"/>
        </w:tabs>
        <w:spacing w:line="240" w:lineRule="auto" w:before="195" w:after="0"/>
        <w:ind w:left="820" w:right="118" w:hanging="471"/>
        <w:jc w:val="both"/>
        <w:rPr>
          <w:b/>
          <w:sz w:val="20"/>
        </w:rPr>
      </w:pPr>
      <w:r>
        <w:rPr>
          <w:sz w:val="20"/>
        </w:rPr>
        <w:t>The</w:t>
      </w:r>
      <w:r>
        <w:rPr>
          <w:spacing w:val="-7"/>
          <w:sz w:val="20"/>
        </w:rPr>
        <w:t> </w:t>
      </w:r>
      <w:r>
        <w:rPr>
          <w:sz w:val="20"/>
        </w:rPr>
        <w:t>following</w:t>
      </w:r>
      <w:r>
        <w:rPr>
          <w:spacing w:val="-7"/>
          <w:sz w:val="20"/>
        </w:rPr>
        <w:t> </w:t>
      </w:r>
      <w:r>
        <w:rPr>
          <w:sz w:val="20"/>
        </w:rPr>
        <w:t>is</w:t>
      </w:r>
      <w:r>
        <w:rPr>
          <w:spacing w:val="-4"/>
          <w:sz w:val="20"/>
        </w:rPr>
        <w:t> </w:t>
      </w:r>
      <w:r>
        <w:rPr>
          <w:sz w:val="20"/>
        </w:rPr>
        <w:t>added</w:t>
      </w:r>
      <w:r>
        <w:rPr>
          <w:spacing w:val="-7"/>
          <w:sz w:val="20"/>
        </w:rPr>
        <w:t> </w:t>
      </w:r>
      <w:r>
        <w:rPr>
          <w:sz w:val="20"/>
        </w:rPr>
        <w:t>to</w:t>
      </w:r>
      <w:r>
        <w:rPr>
          <w:spacing w:val="-3"/>
          <w:sz w:val="20"/>
        </w:rPr>
        <w:t> </w:t>
      </w:r>
      <w:r>
        <w:rPr>
          <w:sz w:val="20"/>
        </w:rPr>
        <w:t>Paragraph</w:t>
      </w:r>
      <w:r>
        <w:rPr>
          <w:spacing w:val="-6"/>
          <w:sz w:val="20"/>
        </w:rPr>
        <w:t> </w:t>
      </w:r>
      <w:r>
        <w:rPr>
          <w:b/>
          <w:sz w:val="20"/>
        </w:rPr>
        <w:t>1.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Insuring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Agreement</w:t>
      </w:r>
      <w:r>
        <w:rPr>
          <w:b/>
          <w:spacing w:val="-5"/>
          <w:sz w:val="20"/>
        </w:rPr>
        <w:t> </w:t>
      </w:r>
      <w:r>
        <w:rPr>
          <w:sz w:val="20"/>
        </w:rPr>
        <w:t>of</w:t>
      </w:r>
      <w:r>
        <w:rPr>
          <w:spacing w:val="-3"/>
          <w:sz w:val="20"/>
        </w:rPr>
        <w:t> </w:t>
      </w:r>
      <w:r>
        <w:rPr>
          <w:b/>
          <w:sz w:val="20"/>
        </w:rPr>
        <w:t>Section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I</w:t>
      </w:r>
      <w:r>
        <w:rPr>
          <w:b/>
          <w:spacing w:val="-5"/>
          <w:sz w:val="20"/>
        </w:rPr>
        <w:t> </w:t>
      </w:r>
      <w:r>
        <w:rPr>
          <w:b/>
          <w:sz w:val="20"/>
        </w:rPr>
        <w:t>–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Coverage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A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–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Bodily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Injury And Property Damage </w:t>
      </w:r>
      <w:r>
        <w:rPr>
          <w:sz w:val="20"/>
        </w:rPr>
        <w:t>and Paragraph </w:t>
      </w:r>
      <w:r>
        <w:rPr>
          <w:b/>
          <w:sz w:val="20"/>
        </w:rPr>
        <w:t>1. Insuring Agreement </w:t>
      </w:r>
      <w:r>
        <w:rPr>
          <w:sz w:val="20"/>
        </w:rPr>
        <w:t>of </w:t>
      </w:r>
      <w:r>
        <w:rPr>
          <w:b/>
          <w:sz w:val="20"/>
        </w:rPr>
        <w:t>Section I – Coverage B – Personal and Advertising Injury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Liability:</w:t>
      </w:r>
    </w:p>
    <w:p>
      <w:pPr>
        <w:pStyle w:val="BodyText"/>
        <w:spacing w:before="11"/>
        <w:rPr>
          <w:b/>
          <w:sz w:val="21"/>
        </w:rPr>
      </w:pPr>
    </w:p>
    <w:p>
      <w:pPr>
        <w:pStyle w:val="BodyText"/>
        <w:ind w:left="820" w:right="191"/>
      </w:pPr>
      <w:r>
        <w:rPr/>
        <w:t>“Bodily injury”, “property damage” or “personal and advertising injury” arising out of a “wrongful act” shall be deemed to be caused by an “occurrence”.</w:t>
      </w:r>
    </w:p>
    <w:p>
      <w:pPr>
        <w:pStyle w:val="BodyText"/>
        <w:rPr>
          <w:sz w:val="22"/>
        </w:rPr>
      </w:pPr>
    </w:p>
    <w:p>
      <w:pPr>
        <w:pStyle w:val="BodyText"/>
      </w:pPr>
    </w:p>
    <w:p>
      <w:pPr>
        <w:pStyle w:val="ListParagraph"/>
        <w:numPr>
          <w:ilvl w:val="0"/>
          <w:numId w:val="1"/>
        </w:numPr>
        <w:tabs>
          <w:tab w:pos="821" w:val="left" w:leader="none"/>
        </w:tabs>
        <w:spacing w:line="240" w:lineRule="auto" w:before="1" w:after="0"/>
        <w:ind w:left="820" w:right="118" w:hanging="525"/>
        <w:jc w:val="both"/>
        <w:rPr>
          <w:b/>
          <w:color w:val="365F91"/>
          <w:sz w:val="20"/>
        </w:rPr>
      </w:pPr>
      <w:r>
        <w:rPr>
          <w:sz w:val="20"/>
        </w:rPr>
        <w:t>The following exclusions are added to Paragraph </w:t>
      </w:r>
      <w:r>
        <w:rPr>
          <w:b/>
          <w:sz w:val="20"/>
        </w:rPr>
        <w:t>2. Exclusions of Section I – Coverage A – Bodily Injury And Property Damage and Paragraph 2. Exclusions of Section I – Coverage B – Personal and Advertising Injury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Liability:</w:t>
      </w:r>
    </w:p>
    <w:p>
      <w:pPr>
        <w:pStyle w:val="BodyText"/>
        <w:spacing w:before="10"/>
        <w:rPr>
          <w:b/>
          <w:sz w:val="19"/>
        </w:rPr>
      </w:pPr>
    </w:p>
    <w:p>
      <w:pPr>
        <w:pStyle w:val="BodyText"/>
        <w:spacing w:before="1"/>
        <w:ind w:left="820"/>
      </w:pPr>
      <w:r>
        <w:rPr/>
        <w:t>This endorsement does not apply to:</w:t>
      </w:r>
    </w:p>
    <w:p>
      <w:pPr>
        <w:pStyle w:val="BodyText"/>
        <w:rPr>
          <w:sz w:val="22"/>
        </w:rPr>
      </w:pPr>
    </w:p>
    <w:p>
      <w:pPr>
        <w:pStyle w:val="BodyText"/>
        <w:spacing w:before="1"/>
        <w:rPr>
          <w:sz w:val="18"/>
        </w:rPr>
      </w:pPr>
    </w:p>
    <w:p>
      <w:pPr>
        <w:pStyle w:val="ListParagraph"/>
        <w:numPr>
          <w:ilvl w:val="1"/>
          <w:numId w:val="1"/>
        </w:numPr>
        <w:tabs>
          <w:tab w:pos="1540" w:val="left" w:leader="none"/>
        </w:tabs>
        <w:spacing w:line="240" w:lineRule="auto" w:before="0" w:after="0"/>
        <w:ind w:left="1539" w:right="0" w:hanging="361"/>
        <w:jc w:val="left"/>
        <w:rPr>
          <w:sz w:val="20"/>
        </w:rPr>
      </w:pPr>
      <w:r>
        <w:rPr>
          <w:sz w:val="20"/>
        </w:rPr>
        <w:t>CLAIMS or “suits” brought by any other person or organization insured under this</w:t>
      </w:r>
      <w:r>
        <w:rPr>
          <w:spacing w:val="-17"/>
          <w:sz w:val="20"/>
        </w:rPr>
        <w:t> </w:t>
      </w:r>
      <w:r>
        <w:rPr>
          <w:sz w:val="20"/>
        </w:rPr>
        <w:t>Policy;</w:t>
      </w:r>
    </w:p>
    <w:p>
      <w:pPr>
        <w:pStyle w:val="BodyText"/>
        <w:spacing w:before="1"/>
      </w:pPr>
    </w:p>
    <w:p>
      <w:pPr>
        <w:pStyle w:val="ListParagraph"/>
        <w:numPr>
          <w:ilvl w:val="1"/>
          <w:numId w:val="1"/>
        </w:numPr>
        <w:tabs>
          <w:tab w:pos="1540" w:val="left" w:leader="none"/>
        </w:tabs>
        <w:spacing w:line="240" w:lineRule="auto" w:before="0" w:after="0"/>
        <w:ind w:left="1539" w:right="119" w:hanging="360"/>
        <w:jc w:val="left"/>
        <w:rPr>
          <w:sz w:val="20"/>
        </w:rPr>
      </w:pPr>
      <w:r>
        <w:rPr>
          <w:sz w:val="20"/>
        </w:rPr>
        <w:t>Liability imposed solely by any governmental statute or regulation that does not otherwise arise directly out of your </w:t>
      </w:r>
      <w:r>
        <w:rPr>
          <w:b/>
          <w:sz w:val="20"/>
        </w:rPr>
        <w:t>“</w:t>
      </w:r>
      <w:r>
        <w:rPr>
          <w:sz w:val="20"/>
        </w:rPr>
        <w:t>wrongful</w:t>
      </w:r>
      <w:r>
        <w:rPr>
          <w:spacing w:val="-5"/>
          <w:sz w:val="20"/>
        </w:rPr>
        <w:t> </w:t>
      </w:r>
      <w:r>
        <w:rPr>
          <w:sz w:val="20"/>
        </w:rPr>
        <w:t>act”;</w:t>
      </w:r>
    </w:p>
    <w:p>
      <w:pPr>
        <w:pStyle w:val="BodyText"/>
        <w:spacing w:before="10"/>
        <w:rPr>
          <w:sz w:val="19"/>
        </w:rPr>
      </w:pPr>
    </w:p>
    <w:p>
      <w:pPr>
        <w:pStyle w:val="ListParagraph"/>
        <w:numPr>
          <w:ilvl w:val="1"/>
          <w:numId w:val="1"/>
        </w:numPr>
        <w:tabs>
          <w:tab w:pos="1540" w:val="left" w:leader="none"/>
        </w:tabs>
        <w:spacing w:line="240" w:lineRule="auto" w:before="1" w:after="0"/>
        <w:ind w:left="1539" w:right="0" w:hanging="361"/>
        <w:jc w:val="left"/>
        <w:rPr>
          <w:sz w:val="20"/>
        </w:rPr>
      </w:pPr>
      <w:r>
        <w:rPr>
          <w:sz w:val="20"/>
        </w:rPr>
        <w:t>Breach of any express warranty or</w:t>
      </w:r>
      <w:r>
        <w:rPr>
          <w:spacing w:val="-26"/>
          <w:sz w:val="20"/>
        </w:rPr>
        <w:t> </w:t>
      </w:r>
      <w:r>
        <w:rPr>
          <w:sz w:val="20"/>
        </w:rPr>
        <w:t>guarantee;</w:t>
      </w:r>
    </w:p>
    <w:p>
      <w:pPr>
        <w:pStyle w:val="BodyText"/>
      </w:pPr>
    </w:p>
    <w:p>
      <w:pPr>
        <w:pStyle w:val="ListParagraph"/>
        <w:numPr>
          <w:ilvl w:val="1"/>
          <w:numId w:val="1"/>
        </w:numPr>
        <w:tabs>
          <w:tab w:pos="1540" w:val="left" w:leader="none"/>
        </w:tabs>
        <w:spacing w:line="240" w:lineRule="auto" w:before="1" w:after="0"/>
        <w:ind w:left="1539" w:right="0" w:hanging="361"/>
        <w:jc w:val="left"/>
        <w:rPr>
          <w:sz w:val="20"/>
        </w:rPr>
      </w:pPr>
      <w:r>
        <w:rPr>
          <w:sz w:val="20"/>
        </w:rPr>
        <w:t>Demands of injunctive or non-monetary</w:t>
      </w:r>
      <w:r>
        <w:rPr>
          <w:spacing w:val="-23"/>
          <w:sz w:val="20"/>
        </w:rPr>
        <w:t> </w:t>
      </w:r>
      <w:r>
        <w:rPr>
          <w:sz w:val="20"/>
        </w:rPr>
        <w:t>relief;</w:t>
      </w:r>
    </w:p>
    <w:p>
      <w:pPr>
        <w:pStyle w:val="BodyText"/>
        <w:spacing w:before="10"/>
        <w:rPr>
          <w:sz w:val="19"/>
        </w:rPr>
      </w:pPr>
    </w:p>
    <w:p>
      <w:pPr>
        <w:pStyle w:val="ListParagraph"/>
        <w:numPr>
          <w:ilvl w:val="1"/>
          <w:numId w:val="1"/>
        </w:numPr>
        <w:tabs>
          <w:tab w:pos="1540" w:val="left" w:leader="none"/>
        </w:tabs>
        <w:spacing w:line="240" w:lineRule="auto" w:before="0" w:after="0"/>
        <w:ind w:left="1539" w:right="0" w:hanging="361"/>
        <w:jc w:val="left"/>
        <w:rPr>
          <w:sz w:val="20"/>
        </w:rPr>
      </w:pPr>
      <w:r>
        <w:rPr>
          <w:sz w:val="20"/>
        </w:rPr>
        <w:t>Dishonest, fraudulent, criminal, illegal, intentional, or malicious act, error, or</w:t>
      </w:r>
      <w:r>
        <w:rPr>
          <w:spacing w:val="-17"/>
          <w:sz w:val="20"/>
        </w:rPr>
        <w:t> </w:t>
      </w:r>
      <w:r>
        <w:rPr>
          <w:sz w:val="20"/>
        </w:rPr>
        <w:t>omission;</w:t>
      </w:r>
    </w:p>
    <w:p>
      <w:pPr>
        <w:pStyle w:val="BodyText"/>
        <w:spacing w:before="1"/>
      </w:pPr>
    </w:p>
    <w:p>
      <w:pPr>
        <w:pStyle w:val="ListParagraph"/>
        <w:numPr>
          <w:ilvl w:val="1"/>
          <w:numId w:val="1"/>
        </w:numPr>
        <w:tabs>
          <w:tab w:pos="1540" w:val="left" w:leader="none"/>
        </w:tabs>
        <w:spacing w:line="240" w:lineRule="auto" w:before="0" w:after="0"/>
        <w:ind w:left="1539" w:right="123" w:hanging="360"/>
        <w:jc w:val="left"/>
        <w:rPr>
          <w:sz w:val="20"/>
        </w:rPr>
      </w:pPr>
      <w:r>
        <w:rPr>
          <w:sz w:val="20"/>
        </w:rPr>
        <w:t>“Wrongful</w:t>
      </w:r>
      <w:r>
        <w:rPr>
          <w:spacing w:val="-7"/>
          <w:sz w:val="20"/>
        </w:rPr>
        <w:t> </w:t>
      </w:r>
      <w:r>
        <w:rPr>
          <w:sz w:val="20"/>
        </w:rPr>
        <w:t>act”</w:t>
      </w:r>
      <w:r>
        <w:rPr>
          <w:spacing w:val="-5"/>
          <w:sz w:val="20"/>
        </w:rPr>
        <w:t> </w:t>
      </w:r>
      <w:r>
        <w:rPr>
          <w:sz w:val="20"/>
        </w:rPr>
        <w:t>arising</w:t>
      </w:r>
      <w:r>
        <w:rPr>
          <w:spacing w:val="-7"/>
          <w:sz w:val="20"/>
        </w:rPr>
        <w:t> </w:t>
      </w:r>
      <w:r>
        <w:rPr>
          <w:sz w:val="20"/>
        </w:rPr>
        <w:t>out</w:t>
      </w:r>
      <w:r>
        <w:rPr>
          <w:spacing w:val="-5"/>
          <w:sz w:val="20"/>
        </w:rPr>
        <w:t> </w:t>
      </w:r>
      <w:r>
        <w:rPr>
          <w:sz w:val="20"/>
        </w:rPr>
        <w:t>of</w:t>
      </w:r>
      <w:r>
        <w:rPr>
          <w:spacing w:val="-6"/>
          <w:sz w:val="20"/>
        </w:rPr>
        <w:t> </w:t>
      </w:r>
      <w:r>
        <w:rPr>
          <w:sz w:val="20"/>
        </w:rPr>
        <w:t>an</w:t>
      </w:r>
      <w:r>
        <w:rPr>
          <w:spacing w:val="-7"/>
          <w:sz w:val="20"/>
        </w:rPr>
        <w:t> </w:t>
      </w:r>
      <w:r>
        <w:rPr>
          <w:sz w:val="20"/>
        </w:rPr>
        <w:t>Insured’s</w:t>
      </w:r>
      <w:r>
        <w:rPr>
          <w:spacing w:val="-5"/>
          <w:sz w:val="20"/>
        </w:rPr>
        <w:t> </w:t>
      </w:r>
      <w:r>
        <w:rPr>
          <w:sz w:val="20"/>
        </w:rPr>
        <w:t>failure</w:t>
      </w:r>
      <w:r>
        <w:rPr>
          <w:spacing w:val="-8"/>
          <w:sz w:val="20"/>
        </w:rPr>
        <w:t> </w:t>
      </w:r>
      <w:r>
        <w:rPr>
          <w:sz w:val="20"/>
        </w:rPr>
        <w:t>to</w:t>
      </w:r>
      <w:r>
        <w:rPr>
          <w:spacing w:val="-7"/>
          <w:sz w:val="20"/>
        </w:rPr>
        <w:t> </w:t>
      </w:r>
      <w:r>
        <w:rPr>
          <w:sz w:val="20"/>
        </w:rPr>
        <w:t>have</w:t>
      </w:r>
      <w:r>
        <w:rPr>
          <w:spacing w:val="-7"/>
          <w:sz w:val="20"/>
        </w:rPr>
        <w:t> </w:t>
      </w:r>
      <w:r>
        <w:rPr>
          <w:sz w:val="20"/>
        </w:rPr>
        <w:t>or</w:t>
      </w:r>
      <w:r>
        <w:rPr>
          <w:spacing w:val="-7"/>
          <w:sz w:val="20"/>
        </w:rPr>
        <w:t> </w:t>
      </w:r>
      <w:r>
        <w:rPr>
          <w:sz w:val="20"/>
        </w:rPr>
        <w:t>to</w:t>
      </w:r>
      <w:r>
        <w:rPr>
          <w:spacing w:val="-7"/>
          <w:sz w:val="20"/>
        </w:rPr>
        <w:t> </w:t>
      </w:r>
      <w:r>
        <w:rPr>
          <w:sz w:val="20"/>
        </w:rPr>
        <w:t>obtain</w:t>
      </w:r>
      <w:r>
        <w:rPr>
          <w:spacing w:val="-7"/>
          <w:sz w:val="20"/>
        </w:rPr>
        <w:t> </w:t>
      </w:r>
      <w:r>
        <w:rPr>
          <w:sz w:val="20"/>
        </w:rPr>
        <w:t>a</w:t>
      </w:r>
      <w:r>
        <w:rPr>
          <w:spacing w:val="-6"/>
          <w:sz w:val="20"/>
        </w:rPr>
        <w:t> </w:t>
      </w:r>
      <w:r>
        <w:rPr>
          <w:sz w:val="20"/>
        </w:rPr>
        <w:t>license</w:t>
      </w:r>
      <w:r>
        <w:rPr>
          <w:spacing w:val="-7"/>
          <w:sz w:val="20"/>
        </w:rPr>
        <w:t> </w:t>
      </w:r>
      <w:r>
        <w:rPr>
          <w:sz w:val="20"/>
        </w:rPr>
        <w:t>or</w:t>
      </w:r>
      <w:r>
        <w:rPr>
          <w:spacing w:val="-5"/>
          <w:sz w:val="20"/>
        </w:rPr>
        <w:t> </w:t>
      </w:r>
      <w:r>
        <w:rPr>
          <w:sz w:val="20"/>
        </w:rPr>
        <w:t>any</w:t>
      </w:r>
      <w:r>
        <w:rPr>
          <w:spacing w:val="-7"/>
          <w:sz w:val="20"/>
        </w:rPr>
        <w:t> </w:t>
      </w:r>
      <w:r>
        <w:rPr>
          <w:sz w:val="20"/>
        </w:rPr>
        <w:t>other</w:t>
      </w:r>
      <w:r>
        <w:rPr>
          <w:spacing w:val="-4"/>
          <w:sz w:val="20"/>
        </w:rPr>
        <w:t> </w:t>
      </w:r>
      <w:r>
        <w:rPr>
          <w:sz w:val="20"/>
        </w:rPr>
        <w:t>permit as required by law, statute, or</w:t>
      </w:r>
      <w:r>
        <w:rPr>
          <w:spacing w:val="2"/>
          <w:sz w:val="20"/>
        </w:rPr>
        <w:t> </w:t>
      </w:r>
      <w:r>
        <w:rPr>
          <w:sz w:val="20"/>
        </w:rPr>
        <w:t>regulation;</w:t>
      </w:r>
    </w:p>
    <w:p>
      <w:pPr>
        <w:pStyle w:val="BodyText"/>
        <w:spacing w:before="9"/>
        <w:rPr>
          <w:sz w:val="19"/>
        </w:rPr>
      </w:pPr>
    </w:p>
    <w:p>
      <w:pPr>
        <w:pStyle w:val="ListParagraph"/>
        <w:numPr>
          <w:ilvl w:val="1"/>
          <w:numId w:val="1"/>
        </w:numPr>
        <w:tabs>
          <w:tab w:pos="1541" w:val="left" w:leader="none"/>
        </w:tabs>
        <w:spacing w:line="240" w:lineRule="auto" w:before="0" w:after="0"/>
        <w:ind w:left="1540" w:right="119" w:hanging="360"/>
        <w:jc w:val="left"/>
        <w:rPr>
          <w:sz w:val="20"/>
        </w:rPr>
      </w:pPr>
      <w:r>
        <w:rPr>
          <w:sz w:val="20"/>
        </w:rPr>
        <w:t>Liability arising out of a “wrongful act” while intoxicated or under the influence of an illegal substance or drug.</w:t>
      </w:r>
    </w:p>
    <w:p>
      <w:pPr>
        <w:spacing w:after="0" w:line="240" w:lineRule="auto"/>
        <w:jc w:val="left"/>
        <w:rPr>
          <w:sz w:val="20"/>
        </w:rPr>
        <w:sectPr>
          <w:footerReference w:type="default" r:id="rId5"/>
          <w:type w:val="continuous"/>
          <w:pgSz w:w="12240" w:h="15840"/>
          <w:pgMar w:footer="2440" w:top="1300" w:bottom="2640" w:left="900" w:right="1200"/>
          <w:pgNumType w:start="1"/>
        </w:sectPr>
      </w:pPr>
    </w:p>
    <w:p>
      <w:pPr>
        <w:pStyle w:val="BodyText"/>
        <w:spacing w:before="5"/>
        <w:rPr>
          <w:sz w:val="14"/>
        </w:rPr>
      </w:pPr>
    </w:p>
    <w:p>
      <w:pPr>
        <w:pStyle w:val="ListParagraph"/>
        <w:numPr>
          <w:ilvl w:val="0"/>
          <w:numId w:val="1"/>
        </w:numPr>
        <w:tabs>
          <w:tab w:pos="820" w:val="left" w:leader="none"/>
          <w:tab w:pos="821" w:val="left" w:leader="none"/>
        </w:tabs>
        <w:spacing w:line="240" w:lineRule="auto" w:before="93" w:after="0"/>
        <w:ind w:left="820" w:right="0" w:hanging="584"/>
        <w:jc w:val="left"/>
        <w:rPr>
          <w:b/>
          <w:sz w:val="20"/>
        </w:rPr>
      </w:pPr>
      <w:bookmarkStart w:name="III. The following Definitions are added" w:id="5"/>
      <w:bookmarkEnd w:id="5"/>
      <w:r>
        <w:rPr/>
      </w:r>
      <w:bookmarkStart w:name="III. The following Definitions are added" w:id="6"/>
      <w:bookmarkEnd w:id="6"/>
      <w:r>
        <w:rPr>
          <w:sz w:val="20"/>
        </w:rPr>
        <w:t>T</w:t>
      </w:r>
      <w:r>
        <w:rPr>
          <w:sz w:val="20"/>
        </w:rPr>
        <w:t>he following Definitions are added to </w:t>
      </w:r>
      <w:r>
        <w:rPr>
          <w:b/>
          <w:sz w:val="20"/>
        </w:rPr>
        <w:t>Section V –</w:t>
      </w:r>
      <w:r>
        <w:rPr>
          <w:b/>
          <w:spacing w:val="-2"/>
          <w:sz w:val="20"/>
        </w:rPr>
        <w:t> </w:t>
      </w:r>
      <w:r>
        <w:rPr>
          <w:b/>
          <w:sz w:val="20"/>
        </w:rPr>
        <w:t>Definitions:</w:t>
      </w:r>
    </w:p>
    <w:p>
      <w:pPr>
        <w:pStyle w:val="BodyText"/>
        <w:rPr>
          <w:b/>
        </w:rPr>
      </w:pPr>
    </w:p>
    <w:p>
      <w:pPr>
        <w:pStyle w:val="ListParagraph"/>
        <w:numPr>
          <w:ilvl w:val="1"/>
          <w:numId w:val="1"/>
        </w:numPr>
        <w:tabs>
          <w:tab w:pos="1181" w:val="left" w:leader="none"/>
        </w:tabs>
        <w:spacing w:line="240" w:lineRule="auto" w:before="1" w:after="0"/>
        <w:ind w:left="1206" w:right="212" w:hanging="387"/>
        <w:jc w:val="left"/>
        <w:rPr>
          <w:sz w:val="20"/>
        </w:rPr>
      </w:pPr>
      <w:r>
        <w:rPr>
          <w:sz w:val="20"/>
        </w:rPr>
        <w:t>“Wrongful</w:t>
      </w:r>
      <w:r>
        <w:rPr>
          <w:spacing w:val="-4"/>
          <w:sz w:val="20"/>
        </w:rPr>
        <w:t> </w:t>
      </w:r>
      <w:r>
        <w:rPr>
          <w:sz w:val="20"/>
        </w:rPr>
        <w:t>act”</w:t>
      </w:r>
      <w:r>
        <w:rPr>
          <w:spacing w:val="-4"/>
          <w:sz w:val="20"/>
        </w:rPr>
        <w:t> </w:t>
      </w:r>
      <w:r>
        <w:rPr>
          <w:sz w:val="20"/>
        </w:rPr>
        <w:t>means</w:t>
      </w:r>
      <w:r>
        <w:rPr>
          <w:spacing w:val="-4"/>
          <w:sz w:val="20"/>
        </w:rPr>
        <w:t> </w:t>
      </w:r>
      <w:r>
        <w:rPr>
          <w:sz w:val="20"/>
        </w:rPr>
        <w:t>any</w:t>
      </w:r>
      <w:r>
        <w:rPr>
          <w:spacing w:val="-1"/>
          <w:sz w:val="20"/>
        </w:rPr>
        <w:t> </w:t>
      </w:r>
      <w:r>
        <w:rPr>
          <w:sz w:val="20"/>
        </w:rPr>
        <w:t>breach</w:t>
      </w:r>
      <w:r>
        <w:rPr>
          <w:spacing w:val="-5"/>
          <w:sz w:val="20"/>
        </w:rPr>
        <w:t> </w:t>
      </w:r>
      <w:r>
        <w:rPr>
          <w:sz w:val="20"/>
        </w:rPr>
        <w:t>of</w:t>
      </w:r>
      <w:r>
        <w:rPr>
          <w:spacing w:val="-3"/>
          <w:sz w:val="20"/>
        </w:rPr>
        <w:t> </w:t>
      </w:r>
      <w:r>
        <w:rPr>
          <w:sz w:val="20"/>
        </w:rPr>
        <w:t>duty,</w:t>
      </w:r>
      <w:r>
        <w:rPr>
          <w:spacing w:val="-2"/>
          <w:sz w:val="20"/>
        </w:rPr>
        <w:t> </w:t>
      </w:r>
      <w:r>
        <w:rPr>
          <w:sz w:val="20"/>
        </w:rPr>
        <w:t>negligent</w:t>
      </w:r>
      <w:r>
        <w:rPr>
          <w:spacing w:val="-5"/>
          <w:sz w:val="20"/>
        </w:rPr>
        <w:t> </w:t>
      </w:r>
      <w:r>
        <w:rPr>
          <w:sz w:val="20"/>
        </w:rPr>
        <w:t>act,</w:t>
      </w:r>
      <w:r>
        <w:rPr>
          <w:spacing w:val="-5"/>
          <w:sz w:val="20"/>
        </w:rPr>
        <w:t> </w:t>
      </w:r>
      <w:r>
        <w:rPr>
          <w:sz w:val="20"/>
        </w:rPr>
        <w:t>error,</w:t>
      </w:r>
      <w:r>
        <w:rPr>
          <w:spacing w:val="-5"/>
          <w:sz w:val="20"/>
        </w:rPr>
        <w:t> </w:t>
      </w:r>
      <w:r>
        <w:rPr>
          <w:sz w:val="20"/>
        </w:rPr>
        <w:t>misstatement,</w:t>
      </w:r>
      <w:r>
        <w:rPr>
          <w:spacing w:val="-3"/>
          <w:sz w:val="20"/>
        </w:rPr>
        <w:t> </w:t>
      </w:r>
      <w:r>
        <w:rPr>
          <w:sz w:val="20"/>
        </w:rPr>
        <w:t>misleading</w:t>
      </w:r>
      <w:r>
        <w:rPr>
          <w:spacing w:val="-4"/>
          <w:sz w:val="20"/>
        </w:rPr>
        <w:t> </w:t>
      </w:r>
      <w:r>
        <w:rPr>
          <w:sz w:val="20"/>
        </w:rPr>
        <w:t>statement, or omission in the performing or failing to perform services as a “firearms</w:t>
      </w:r>
      <w:r>
        <w:rPr>
          <w:spacing w:val="-12"/>
          <w:sz w:val="20"/>
        </w:rPr>
        <w:t> </w:t>
      </w:r>
      <w:r>
        <w:rPr>
          <w:sz w:val="20"/>
        </w:rPr>
        <w:t>instructor”.</w:t>
      </w:r>
    </w:p>
    <w:p>
      <w:pPr>
        <w:pStyle w:val="ListParagraph"/>
        <w:numPr>
          <w:ilvl w:val="1"/>
          <w:numId w:val="1"/>
        </w:numPr>
        <w:tabs>
          <w:tab w:pos="1181" w:val="left" w:leader="none"/>
        </w:tabs>
        <w:spacing w:line="240" w:lineRule="auto" w:before="0" w:after="0"/>
        <w:ind w:left="1180" w:right="116" w:hanging="360"/>
        <w:jc w:val="left"/>
        <w:rPr>
          <w:sz w:val="20"/>
        </w:rPr>
      </w:pPr>
      <w:r>
        <w:rPr>
          <w:sz w:val="20"/>
        </w:rPr>
        <w:t>“Firearms instructor” means a person who is licensed and certified to teach and train in the use of firearms.</w:t>
      </w:r>
    </w:p>
    <w:p>
      <w:pPr>
        <w:pStyle w:val="BodyText"/>
      </w:pPr>
    </w:p>
    <w:p>
      <w:pPr>
        <w:pStyle w:val="ListParagraph"/>
        <w:numPr>
          <w:ilvl w:val="0"/>
          <w:numId w:val="1"/>
        </w:numPr>
        <w:tabs>
          <w:tab w:pos="820" w:val="left" w:leader="none"/>
          <w:tab w:pos="821" w:val="left" w:leader="none"/>
        </w:tabs>
        <w:spacing w:line="240" w:lineRule="auto" w:before="0" w:after="0"/>
        <w:ind w:left="820" w:right="262" w:hanging="605"/>
        <w:jc w:val="left"/>
        <w:rPr>
          <w:sz w:val="20"/>
        </w:rPr>
      </w:pPr>
      <w:r>
        <w:rPr>
          <w:sz w:val="20"/>
        </w:rPr>
        <w:t>For</w:t>
      </w:r>
      <w:r>
        <w:rPr>
          <w:spacing w:val="-4"/>
          <w:sz w:val="20"/>
        </w:rPr>
        <w:t> </w:t>
      </w:r>
      <w:r>
        <w:rPr>
          <w:sz w:val="20"/>
        </w:rPr>
        <w:t>the</w:t>
      </w:r>
      <w:r>
        <w:rPr>
          <w:spacing w:val="-3"/>
          <w:sz w:val="20"/>
        </w:rPr>
        <w:t> </w:t>
      </w:r>
      <w:r>
        <w:rPr>
          <w:sz w:val="20"/>
        </w:rPr>
        <w:t>purposes</w:t>
      </w:r>
      <w:r>
        <w:rPr>
          <w:spacing w:val="-1"/>
          <w:sz w:val="20"/>
        </w:rPr>
        <w:t> </w:t>
      </w:r>
      <w:r>
        <w:rPr>
          <w:sz w:val="20"/>
        </w:rPr>
        <w:t>of</w:t>
      </w:r>
      <w:r>
        <w:rPr>
          <w:spacing w:val="-5"/>
          <w:sz w:val="20"/>
        </w:rPr>
        <w:t> </w:t>
      </w:r>
      <w:r>
        <w:rPr>
          <w:sz w:val="20"/>
        </w:rPr>
        <w:t>determining</w:t>
      </w:r>
      <w:r>
        <w:rPr>
          <w:spacing w:val="-5"/>
          <w:sz w:val="20"/>
        </w:rPr>
        <w:t> </w:t>
      </w:r>
      <w:r>
        <w:rPr>
          <w:sz w:val="20"/>
        </w:rPr>
        <w:t>the</w:t>
      </w:r>
      <w:r>
        <w:rPr>
          <w:spacing w:val="-2"/>
          <w:sz w:val="20"/>
        </w:rPr>
        <w:t> </w:t>
      </w:r>
      <w:r>
        <w:rPr>
          <w:sz w:val="20"/>
        </w:rPr>
        <w:t>limits</w:t>
      </w:r>
      <w:r>
        <w:rPr>
          <w:spacing w:val="-1"/>
          <w:sz w:val="20"/>
        </w:rPr>
        <w:t> </w:t>
      </w:r>
      <w:r>
        <w:rPr>
          <w:sz w:val="20"/>
        </w:rPr>
        <w:t>of</w:t>
      </w:r>
      <w:r>
        <w:rPr>
          <w:spacing w:val="-5"/>
          <w:sz w:val="20"/>
        </w:rPr>
        <w:t> </w:t>
      </w:r>
      <w:r>
        <w:rPr>
          <w:sz w:val="20"/>
        </w:rPr>
        <w:t>insurance</w:t>
      </w:r>
      <w:r>
        <w:rPr>
          <w:spacing w:val="-3"/>
          <w:sz w:val="20"/>
        </w:rPr>
        <w:t> </w:t>
      </w:r>
      <w:r>
        <w:rPr>
          <w:sz w:val="20"/>
        </w:rPr>
        <w:t>for</w:t>
      </w:r>
      <w:r>
        <w:rPr>
          <w:spacing w:val="-4"/>
          <w:sz w:val="20"/>
        </w:rPr>
        <w:t> </w:t>
      </w:r>
      <w:r>
        <w:rPr>
          <w:sz w:val="20"/>
        </w:rPr>
        <w:t>the</w:t>
      </w:r>
      <w:r>
        <w:rPr>
          <w:spacing w:val="-3"/>
          <w:sz w:val="20"/>
        </w:rPr>
        <w:t> </w:t>
      </w:r>
      <w:r>
        <w:rPr>
          <w:sz w:val="20"/>
        </w:rPr>
        <w:t>coverage</w:t>
      </w:r>
      <w:r>
        <w:rPr>
          <w:spacing w:val="-3"/>
          <w:sz w:val="20"/>
        </w:rPr>
        <w:t> </w:t>
      </w:r>
      <w:r>
        <w:rPr>
          <w:sz w:val="20"/>
        </w:rPr>
        <w:t>provided</w:t>
      </w:r>
      <w:r>
        <w:rPr>
          <w:spacing w:val="-2"/>
          <w:sz w:val="20"/>
        </w:rPr>
        <w:t> </w:t>
      </w:r>
      <w:r>
        <w:rPr>
          <w:sz w:val="20"/>
        </w:rPr>
        <w:t>by</w:t>
      </w:r>
      <w:r>
        <w:rPr>
          <w:spacing w:val="-4"/>
          <w:sz w:val="20"/>
        </w:rPr>
        <w:t> </w:t>
      </w:r>
      <w:r>
        <w:rPr>
          <w:sz w:val="20"/>
        </w:rPr>
        <w:t>this</w:t>
      </w:r>
      <w:r>
        <w:rPr>
          <w:spacing w:val="-4"/>
          <w:sz w:val="20"/>
        </w:rPr>
        <w:t> </w:t>
      </w:r>
      <w:r>
        <w:rPr>
          <w:sz w:val="20"/>
        </w:rPr>
        <w:t>endorsement, any act, error or omission together with all related acts or omissions in the performance of these services to any one person will be considered one</w:t>
      </w:r>
      <w:r>
        <w:rPr>
          <w:spacing w:val="-6"/>
          <w:sz w:val="20"/>
        </w:rPr>
        <w:t> </w:t>
      </w:r>
      <w:r>
        <w:rPr>
          <w:sz w:val="20"/>
        </w:rPr>
        <w:t>“occurrence”.</w:t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187"/>
        <w:ind w:left="537"/>
      </w:pPr>
      <w:r>
        <w:rPr/>
        <w:t>All other terms and conditions of the policy remain the same.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6"/>
      </w:pPr>
      <w:r>
        <w:rPr/>
        <w:pict>
          <v:group style="position:absolute;margin-left:359.899902pt;margin-top:13.838027pt;width:116.5pt;height:.9pt;mso-position-horizontal-relative:page;mso-position-vertical-relative:paragraph;z-index:-251657216;mso-wrap-distance-left:0;mso-wrap-distance-right:0" coordorigin="7198,277" coordsize="2330,18">
            <v:line style="position:absolute" from="9197,288" to="9528,288" stroked="true" strokeweight=".627pt" strokecolor="#000000">
              <v:stroke dashstyle="solid"/>
            </v:line>
            <v:line style="position:absolute" from="7198,284" to="9197,284" stroked="true" strokeweight=".72pt" strokecolor="#000000">
              <v:stroke dashstyle="solid"/>
            </v:line>
            <w10:wrap type="topAndBottom"/>
          </v:group>
        </w:pict>
      </w:r>
    </w:p>
    <w:p>
      <w:pPr>
        <w:pStyle w:val="BodyText"/>
        <w:ind w:left="6297"/>
      </w:pPr>
      <w:r>
        <w:rPr/>
        <w:t>Authorized Representative</w:t>
      </w:r>
    </w:p>
    <w:sectPr>
      <w:pgSz w:w="12240" w:h="15840"/>
      <w:pgMar w:header="0" w:footer="2440" w:top="1500" w:bottom="2640" w:left="900" w:right="12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0.040001pt;margin-top:659.76001pt;width:474.15pt;height:33.4pt;mso-position-horizontal-relative:page;mso-position-vertical-relative:page;z-index:251658240" type="#_x0000_t202" filled="false" stroked="false">
          <v:textbox inset="0,0,0,0">
            <w:txbxContent>
              <w:tbl>
                <w:tblPr>
                  <w:tblW w:w="0" w:type="auto"/>
                  <w:jc w:val="left"/>
                  <w:tblInd w:w="5" w:type="dxa"/>
                  <w:tbl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blBorders>
                  <w:tblLayout w:type="fixed"/>
                  <w:tblCellMar>
                    <w:top w:w="0" w:type="dxa"/>
                    <w:left w:w="0" w:type="dxa"/>
                    <w:bottom w:w="0" w:type="dxa"/>
                    <w:right w:w="0" w:type="dxa"/>
                  </w:tblCellMar>
                  <w:tblLook w:val="01E0"/>
                </w:tblPr>
                <w:tblGrid>
                  <w:gridCol w:w="1728"/>
                  <w:gridCol w:w="5760"/>
                  <w:gridCol w:w="1980"/>
                </w:tblGrid>
                <w:tr>
                  <w:trPr>
                    <w:trHeight w:val="647" w:hRule="atLeast"/>
                  </w:trPr>
                  <w:tc>
                    <w:tcPr>
                      <w:tcW w:w="1728" w:type="dxa"/>
                    </w:tcPr>
                    <w:p>
                      <w:pPr>
                        <w:pStyle w:val="TableParagraph"/>
                        <w:rPr>
                          <w:sz w:val="18"/>
                        </w:rPr>
                      </w:pPr>
                      <w:bookmarkStart w:name="ENDORSEMENT" w:id="1"/>
                      <w:bookmarkEnd w:id="1"/>
                      <w:r>
                        <w:rPr/>
                      </w:r>
                      <w:bookmarkStart w:name="COMMERCIAL GENERAL LIABILTY COVERAGE FOR" w:id="2"/>
                      <w:bookmarkEnd w:id="2"/>
                      <w:r>
                        <w:rPr/>
                      </w:r>
                      <w:bookmarkStart w:name="I. The following is added to Paragraph 1" w:id="3"/>
                      <w:bookmarkEnd w:id="3"/>
                      <w:r>
                        <w:rPr/>
                      </w:r>
                      <w:bookmarkStart w:name="II. The following exclusions are added t" w:id="4"/>
                      <w:bookmarkEnd w:id="4"/>
                      <w:r>
                        <w:rPr/>
                      </w:r>
                      <w:r>
                        <w:rPr>
                          <w:sz w:val="18"/>
                        </w:rPr>
                        <w:t>76710 (3/22)</w:t>
                      </w:r>
                    </w:p>
                  </w:tc>
                  <w:tc>
                    <w:tcPr>
                      <w:tcW w:w="5760" w:type="dxa"/>
                    </w:tcPr>
                    <w:p>
                      <w:pPr>
                        <w:pStyle w:val="TableParagraph"/>
                        <w:spacing w:line="254" w:lineRule="auto" w:before="8"/>
                        <w:ind w:left="2118" w:right="310" w:hanging="1781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Includes copyrighted material of Insurance Services Office, Inc., with its permission.</w:t>
                      </w:r>
                    </w:p>
                  </w:tc>
                  <w:tc>
                    <w:tcPr>
                      <w:tcW w:w="1980" w:type="dxa"/>
                    </w:tcPr>
                    <w:p>
                      <w:pPr>
                        <w:pStyle w:val="TableParagraph"/>
                        <w:ind w:left="950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Page </w:t>
                      </w:r>
                      <w:r>
                        <w:rPr/>
                        <w:fldChar w:fldCharType="begin"/>
                      </w:r>
                      <w:r>
                        <w:rPr>
                          <w:sz w:val="18"/>
                        </w:rPr>
                        <w:instrText> PAGE </w:instrText>
                      </w:r>
                      <w:r>
                        <w:rPr/>
                        <w:fldChar w:fldCharType="separate"/>
                      </w:r>
                      <w:r>
                        <w:rPr/>
                        <w:t>1</w:t>
                      </w:r>
                      <w:r>
                        <w:rPr/>
                        <w:fldChar w:fldCharType="end"/>
                      </w:r>
                      <w:r>
                        <w:rPr>
                          <w:sz w:val="18"/>
                        </w:rPr>
                        <w:t> of 2</w:t>
                      </w:r>
                    </w:p>
                  </w:tc>
                </w:tr>
              </w:tbl>
              <w:p>
                <w:pPr>
                  <w:pStyle w:val="BodyText"/>
                </w:pP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upperRoman"/>
      <w:lvlText w:val="%1."/>
      <w:lvlJc w:val="left"/>
      <w:pPr>
        <w:ind w:left="820" w:hanging="471"/>
        <w:jc w:val="right"/>
      </w:pPr>
      <w:rPr>
        <w:rFonts w:hint="default"/>
        <w:b/>
        <w:bCs/>
        <w:spacing w:val="-1"/>
        <w:w w:val="99"/>
        <w:lang w:val="en-us" w:eastAsia="en-us" w:bidi="en-us"/>
      </w:rPr>
    </w:lvl>
    <w:lvl w:ilvl="1">
      <w:start w:val="1"/>
      <w:numFmt w:val="upperLetter"/>
      <w:lvlText w:val="%2."/>
      <w:lvlJc w:val="left"/>
      <w:pPr>
        <w:ind w:left="1539" w:hanging="360"/>
        <w:jc w:val="left"/>
      </w:pPr>
      <w:rPr>
        <w:rFonts w:hint="default" w:ascii="Arial" w:hAnsi="Arial" w:eastAsia="Arial" w:cs="Arial"/>
        <w:b/>
        <w:bCs/>
        <w:w w:val="99"/>
        <w:sz w:val="20"/>
        <w:szCs w:val="20"/>
        <w:lang w:val="en-us" w:eastAsia="en-us" w:bidi="en-us"/>
      </w:rPr>
    </w:lvl>
    <w:lvl w:ilvl="2">
      <w:start w:val="0"/>
      <w:numFmt w:val="bullet"/>
      <w:lvlText w:val="•"/>
      <w:lvlJc w:val="left"/>
      <w:pPr>
        <w:ind w:left="1540" w:hanging="36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2615" w:hanging="36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3690" w:hanging="36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4765" w:hanging="36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5840" w:hanging="36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6915" w:hanging="36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7990" w:hanging="360"/>
      </w:pPr>
      <w:rPr>
        <w:rFonts w:hint="default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en-us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0"/>
      <w:szCs w:val="20"/>
      <w:lang w:val="en-us" w:eastAsia="en-us" w:bidi="en-us"/>
    </w:rPr>
  </w:style>
  <w:style w:styleId="Heading1" w:type="paragraph">
    <w:name w:val="Heading 1"/>
    <w:basedOn w:val="Normal"/>
    <w:uiPriority w:val="1"/>
    <w:qFormat/>
    <w:pPr>
      <w:ind w:left="932" w:right="978"/>
      <w:jc w:val="center"/>
      <w:outlineLvl w:val="1"/>
    </w:pPr>
    <w:rPr>
      <w:rFonts w:ascii="Arial" w:hAnsi="Arial" w:eastAsia="Arial" w:cs="Arial"/>
      <w:b/>
      <w:bCs/>
      <w:sz w:val="20"/>
      <w:szCs w:val="20"/>
      <w:lang w:val="en-us" w:eastAsia="en-us" w:bidi="en-us"/>
    </w:rPr>
  </w:style>
  <w:style w:styleId="ListParagraph" w:type="paragraph">
    <w:name w:val="List Paragraph"/>
    <w:basedOn w:val="Normal"/>
    <w:uiPriority w:val="1"/>
    <w:qFormat/>
    <w:pPr>
      <w:ind w:left="1539" w:hanging="361"/>
    </w:pPr>
    <w:rPr>
      <w:rFonts w:ascii="Arial" w:hAnsi="Arial" w:eastAsia="Arial" w:cs="Arial"/>
      <w:lang w:val="en-us" w:eastAsia="en-us" w:bidi="en-us"/>
    </w:rPr>
  </w:style>
  <w:style w:styleId="TableParagraph" w:type="paragraph">
    <w:name w:val="Table Paragraph"/>
    <w:basedOn w:val="Normal"/>
    <w:uiPriority w:val="1"/>
    <w:qFormat/>
    <w:pPr>
      <w:spacing w:line="206" w:lineRule="exact"/>
      <w:ind w:left="107"/>
    </w:pPr>
    <w:rPr>
      <w:rFonts w:ascii="Arial" w:hAnsi="Arial" w:eastAsia="Arial" w:cs="Arial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JohnSull</dc:creator>
  <dc:title>SECTION I – PERSONAL INJURY AND ADVERTISING INJURY LIABILITY COVERAGE</dc:title>
  <dcterms:created xsi:type="dcterms:W3CDTF">2022-05-26T20:14:26Z</dcterms:created>
  <dcterms:modified xsi:type="dcterms:W3CDTF">2022-05-26T20:14:26Z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2022-03-23T00:00:00Z</vt:filetime>
  </property>
  <property fmtid="{D5CDD505-2E9C-101B-9397-08002B2CF9AE}" pid="3" name="Creator">
    <vt:lpwstr>Acrobat PDFMaker 17 for Word</vt:lpwstr>
  </property>
  <property fmtid="{D5CDD505-2E9C-101B-9397-08002B2CF9AE}" pid="4" name="LastSaved">
    <vt:filetime>2022-05-26T00:00:00Z</vt:filetime>
  </property>
</Properties>
</file>